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青岛新首佳服装有限公司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91370282MAD42PLB7X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山东省青岛市即墨区龙山街道黄甲山三路616号-1即发龙山工业园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恒丰</w:t>
      </w:r>
      <w:r>
        <w:rPr>
          <w:rFonts w:hint="eastAsia"/>
          <w:lang w:val="en-US" w:eastAsia="zh-CN"/>
        </w:rPr>
        <w:t>银行股份有限公司青岛南京路支行</w:t>
      </w:r>
      <w:r>
        <w:rPr>
          <w:rFonts w:hint="default"/>
          <w:lang w:val="en-US" w:eastAsia="zh-CN"/>
        </w:rPr>
        <w:t>37150101150100000070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MGFmN2ZhMjVlZjAwMTg0M2ZjNWIwZmVhYTJlOTgifQ=="/>
  </w:docVars>
  <w:rsids>
    <w:rsidRoot w:val="00000000"/>
    <w:rsid w:val="6D676CCC"/>
    <w:rsid w:val="7AB4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2023-11-21T07:04:00Z</dcterms:created>
  <dc:creator>Administrator</dc:creator>
  <cp:lastModifiedBy>陈燕楠</cp:lastModifiedBy>
  <dcterms:modified xsi:type="dcterms:W3CDTF">2023-11-21T07:17:14Z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4B9B60AEC8CC4D7BA96E7E8FC4808916_12</vt:lpwstr>
  </property>
</Properties>
</file>